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5" w:type="dxa"/>
        <w:tblInd w:w="13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9"/>
        <w:gridCol w:w="1259"/>
        <w:gridCol w:w="2679"/>
        <w:gridCol w:w="2508"/>
      </w:tblGrid>
      <w:tr w:rsidR="00712809" w:rsidRPr="00B2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8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712809" w:rsidRPr="00B26B37" w:rsidRDefault="00361A4D" w:rsidP="00712809">
            <w:pPr>
              <w:spacing w:line="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98195" cy="798195"/>
                  <wp:effectExtent l="19050" t="0" r="190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195" cy="798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:rsidR="00712809" w:rsidRPr="00B26B37" w:rsidRDefault="00712809" w:rsidP="00712809">
            <w:pPr>
              <w:spacing w:after="1260"/>
              <w:ind w:left="830"/>
              <w:rPr>
                <w:rFonts w:ascii="Arial" w:hAnsi="Arial" w:cs="Arial"/>
                <w:b/>
                <w:bCs/>
                <w:spacing w:val="16"/>
                <w:sz w:val="30"/>
                <w:szCs w:val="3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BF5366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  <w:r w:rsidRPr="00B26B37">
              <w:rPr>
                <w:rFonts w:ascii="Arial" w:hAnsi="Arial" w:cs="Arial"/>
                <w:sz w:val="18"/>
                <w:szCs w:val="18"/>
              </w:rPr>
              <w:t xml:space="preserve">Padova, </w:t>
            </w:r>
            <w:r w:rsidR="00B26B37" w:rsidRPr="00B26B37">
              <w:rPr>
                <w:rFonts w:ascii="Arial" w:hAnsi="Arial" w:cs="Arial"/>
                <w:sz w:val="18"/>
                <w:szCs w:val="18"/>
              </w:rPr>
              <w:t xml:space="preserve">05 </w:t>
            </w:r>
            <w:r w:rsidR="000168EC">
              <w:rPr>
                <w:rFonts w:ascii="Arial" w:hAnsi="Arial" w:cs="Arial"/>
                <w:sz w:val="18"/>
                <w:szCs w:val="18"/>
              </w:rPr>
              <w:t>giugno</w:t>
            </w:r>
            <w:r w:rsidR="00B26B37" w:rsidRPr="00B26B37">
              <w:rPr>
                <w:rFonts w:ascii="Arial" w:hAnsi="Arial" w:cs="Arial"/>
                <w:sz w:val="18"/>
                <w:szCs w:val="18"/>
              </w:rPr>
              <w:t xml:space="preserve"> 2008</w:t>
            </w:r>
            <w:r w:rsidRPr="00B26B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61967" w:rsidRPr="00B26B37" w:rsidRDefault="00961967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  <w:r w:rsidRPr="00B26B37">
              <w:rPr>
                <w:rFonts w:ascii="Arial" w:hAnsi="Arial" w:cs="Arial"/>
                <w:sz w:val="18"/>
                <w:szCs w:val="18"/>
              </w:rPr>
              <w:t>Allegati:</w:t>
            </w:r>
            <w:r w:rsidR="00961967"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  <w:p w:rsidR="00712809" w:rsidRPr="00B26B37" w:rsidRDefault="00712809" w:rsidP="00712809">
            <w:pPr>
              <w:ind w:left="72" w:righ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26B37" w:rsidRPr="00B26B37" w:rsidRDefault="00B26B37" w:rsidP="00B26B37">
      <w:pPr>
        <w:tabs>
          <w:tab w:val="left" w:pos="5928"/>
        </w:tabs>
        <w:ind w:left="5928" w:right="5" w:hanging="5985"/>
        <w:rPr>
          <w:rFonts w:ascii="Arial" w:hAnsi="Arial" w:cs="Arial"/>
          <w:b/>
          <w:bCs/>
          <w:i/>
          <w:iCs/>
          <w:spacing w:val="2"/>
          <w:sz w:val="20"/>
          <w:szCs w:val="20"/>
        </w:rPr>
      </w:pPr>
      <w:r w:rsidRPr="00B26B37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 xml:space="preserve">    </w:t>
      </w:r>
      <w:r w:rsidR="006F5542" w:rsidRPr="00B26B37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 xml:space="preserve">         </w:t>
      </w:r>
      <w:r w:rsidRPr="00B26B37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>Università degli Studi di Padova</w:t>
      </w:r>
    </w:p>
    <w:p w:rsidR="00127E5B" w:rsidRPr="00B26B37" w:rsidRDefault="00B26B37" w:rsidP="000168EC">
      <w:pPr>
        <w:tabs>
          <w:tab w:val="left" w:pos="5928"/>
        </w:tabs>
        <w:ind w:left="7080" w:right="5" w:hanging="7137"/>
        <w:rPr>
          <w:rFonts w:ascii="Arial" w:hAnsi="Arial" w:cs="Arial"/>
          <w:sz w:val="18"/>
          <w:szCs w:val="18"/>
        </w:rPr>
      </w:pPr>
      <w:r w:rsidRPr="00B26B37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>Facoltà di Scienze Matematiche, Fisiche e Naturali</w:t>
      </w:r>
      <w:r w:rsidR="00127E5B" w:rsidRPr="00B26B37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ab/>
      </w:r>
      <w:r w:rsidR="000168EC">
        <w:rPr>
          <w:rFonts w:ascii="Arial" w:hAnsi="Arial" w:cs="Arial"/>
          <w:b/>
          <w:bCs/>
          <w:i/>
          <w:iCs/>
          <w:spacing w:val="2"/>
          <w:sz w:val="20"/>
          <w:szCs w:val="20"/>
        </w:rPr>
        <w:tab/>
      </w:r>
      <w:r w:rsidRPr="00B26B37">
        <w:rPr>
          <w:rFonts w:ascii="Arial" w:hAnsi="Arial" w:cs="Arial"/>
          <w:sz w:val="18"/>
          <w:szCs w:val="18"/>
        </w:rPr>
        <w:t>Dott. Francesco CLABOT</w:t>
      </w:r>
      <w:r w:rsidR="00127E5B" w:rsidRPr="00B26B37">
        <w:rPr>
          <w:rFonts w:ascii="Arial" w:hAnsi="Arial" w:cs="Arial"/>
          <w:sz w:val="18"/>
          <w:szCs w:val="18"/>
        </w:rPr>
        <w:t xml:space="preserve">    </w:t>
      </w:r>
      <w:hyperlink r:id="rId6" w:history="1">
        <w:r w:rsidRPr="00B26B37">
          <w:rPr>
            <w:rFonts w:ascii="Arial" w:hAnsi="Arial" w:cs="Arial"/>
            <w:sz w:val="18"/>
            <w:szCs w:val="18"/>
          </w:rPr>
          <w:t>francesco.clabot@netcom-srl.it</w:t>
        </w:r>
      </w:hyperlink>
    </w:p>
    <w:p w:rsidR="00B26B37" w:rsidRPr="00B26B37" w:rsidRDefault="00B26B37" w:rsidP="00B26B37">
      <w:pPr>
        <w:jc w:val="center"/>
        <w:rPr>
          <w:rFonts w:ascii="Arial" w:hAnsi="Arial" w:cs="Arial"/>
          <w:b/>
          <w:bCs/>
          <w:spacing w:val="-2"/>
        </w:rPr>
      </w:pPr>
    </w:p>
    <w:p w:rsidR="00B26B37" w:rsidRPr="00B26B37" w:rsidRDefault="00B26B37" w:rsidP="00B26B37">
      <w:pPr>
        <w:jc w:val="center"/>
        <w:rPr>
          <w:rFonts w:ascii="Arial" w:hAnsi="Arial" w:cs="Arial"/>
          <w:b/>
          <w:bCs/>
          <w:spacing w:val="-2"/>
        </w:rPr>
      </w:pPr>
    </w:p>
    <w:p w:rsidR="006F5542" w:rsidRPr="000168EC" w:rsidRDefault="00127E5B" w:rsidP="00B26B37">
      <w:pPr>
        <w:tabs>
          <w:tab w:val="left" w:pos="1482"/>
        </w:tabs>
        <w:spacing w:line="360" w:lineRule="auto"/>
        <w:ind w:left="1367" w:hanging="1310"/>
        <w:rPr>
          <w:rFonts w:ascii="Arial" w:hAnsi="Arial" w:cs="Arial"/>
          <w:spacing w:val="-2"/>
          <w:sz w:val="22"/>
          <w:szCs w:val="22"/>
        </w:rPr>
      </w:pPr>
      <w:r w:rsidRPr="000168EC">
        <w:rPr>
          <w:rFonts w:ascii="Arial" w:hAnsi="Arial" w:cs="Arial"/>
          <w:b/>
          <w:bCs/>
          <w:spacing w:val="-2"/>
          <w:sz w:val="22"/>
          <w:szCs w:val="22"/>
        </w:rPr>
        <w:t xml:space="preserve">OGGETTO: </w:t>
      </w:r>
      <w:r w:rsidR="006F5542" w:rsidRPr="000168EC">
        <w:rPr>
          <w:rFonts w:ascii="Arial" w:hAnsi="Arial" w:cs="Arial"/>
          <w:bCs/>
          <w:spacing w:val="-2"/>
          <w:sz w:val="22"/>
          <w:szCs w:val="22"/>
        </w:rPr>
        <w:t>P</w:t>
      </w:r>
      <w:r w:rsidR="006F5542" w:rsidRPr="000168EC">
        <w:rPr>
          <w:rFonts w:ascii="Arial" w:hAnsi="Arial" w:cs="Arial"/>
          <w:spacing w:val="-2"/>
          <w:sz w:val="22"/>
          <w:szCs w:val="22"/>
        </w:rPr>
        <w:t xml:space="preserve">rova d’esame </w:t>
      </w:r>
      <w:r w:rsidR="00B26B37" w:rsidRPr="000168EC">
        <w:rPr>
          <w:rFonts w:ascii="Arial" w:hAnsi="Arial" w:cs="Arial"/>
          <w:spacing w:val="-2"/>
          <w:sz w:val="22"/>
          <w:szCs w:val="22"/>
        </w:rPr>
        <w:t xml:space="preserve">del corso di </w:t>
      </w:r>
      <w:r w:rsidR="004C1537">
        <w:rPr>
          <w:rFonts w:ascii="Arial" w:hAnsi="Arial" w:cs="Arial"/>
          <w:bCs/>
          <w:sz w:val="22"/>
          <w:szCs w:val="22"/>
        </w:rPr>
        <w:t>c</w:t>
      </w:r>
      <w:r w:rsidR="00B26B37" w:rsidRPr="000168EC">
        <w:rPr>
          <w:rFonts w:ascii="Arial" w:hAnsi="Arial" w:cs="Arial"/>
          <w:bCs/>
          <w:sz w:val="22"/>
          <w:szCs w:val="22"/>
        </w:rPr>
        <w:t xml:space="preserve">orso di “Amministrazione dei Sistemi” </w:t>
      </w:r>
      <w:r w:rsidR="002E3A56">
        <w:rPr>
          <w:rFonts w:ascii="Arial" w:hAnsi="Arial" w:cs="Arial"/>
          <w:bCs/>
          <w:sz w:val="22"/>
          <w:szCs w:val="22"/>
        </w:rPr>
        <w:t>a</w:t>
      </w:r>
      <w:r w:rsidR="006F5542" w:rsidRPr="000168EC">
        <w:rPr>
          <w:rFonts w:ascii="Arial" w:hAnsi="Arial" w:cs="Arial"/>
          <w:spacing w:val="-2"/>
          <w:sz w:val="22"/>
          <w:szCs w:val="22"/>
        </w:rPr>
        <w:t xml:space="preserve">nno accademico </w:t>
      </w:r>
      <w:r w:rsidR="00B26B37" w:rsidRPr="000168EC">
        <w:rPr>
          <w:rFonts w:ascii="Arial" w:hAnsi="Arial" w:cs="Arial"/>
          <w:spacing w:val="-2"/>
          <w:sz w:val="22"/>
          <w:szCs w:val="22"/>
        </w:rPr>
        <w:t xml:space="preserve"> </w:t>
      </w:r>
      <w:r w:rsidR="006F5542" w:rsidRPr="000168EC">
        <w:rPr>
          <w:rFonts w:ascii="Arial" w:hAnsi="Arial" w:cs="Arial"/>
          <w:spacing w:val="-2"/>
          <w:sz w:val="22"/>
          <w:szCs w:val="22"/>
        </w:rPr>
        <w:t xml:space="preserve">2007 </w:t>
      </w:r>
      <w:r w:rsidR="00B26B37" w:rsidRPr="000168EC">
        <w:rPr>
          <w:rFonts w:ascii="Arial" w:hAnsi="Arial" w:cs="Arial"/>
          <w:spacing w:val="-2"/>
          <w:sz w:val="22"/>
          <w:szCs w:val="22"/>
        </w:rPr>
        <w:t>-</w:t>
      </w:r>
      <w:r w:rsidR="006F5542" w:rsidRPr="000168EC">
        <w:rPr>
          <w:rFonts w:ascii="Arial" w:hAnsi="Arial" w:cs="Arial"/>
          <w:spacing w:val="-2"/>
          <w:sz w:val="22"/>
          <w:szCs w:val="22"/>
        </w:rPr>
        <w:t xml:space="preserve"> 2008</w:t>
      </w:r>
      <w:r w:rsidR="00B26B37" w:rsidRPr="000168EC">
        <w:rPr>
          <w:rFonts w:ascii="Arial" w:hAnsi="Arial" w:cs="Arial"/>
          <w:spacing w:val="-2"/>
          <w:sz w:val="22"/>
          <w:szCs w:val="22"/>
        </w:rPr>
        <w:t xml:space="preserve"> </w:t>
      </w:r>
      <w:r w:rsidR="002E3A56">
        <w:rPr>
          <w:rFonts w:ascii="Arial" w:hAnsi="Arial" w:cs="Arial"/>
          <w:spacing w:val="-2"/>
          <w:sz w:val="22"/>
          <w:szCs w:val="22"/>
        </w:rPr>
        <w:t xml:space="preserve"> </w:t>
      </w:r>
      <w:r w:rsidR="004532B6">
        <w:rPr>
          <w:rFonts w:ascii="Arial" w:hAnsi="Arial" w:cs="Arial"/>
          <w:spacing w:val="-2"/>
          <w:sz w:val="22"/>
          <w:szCs w:val="22"/>
        </w:rPr>
        <w:t>–  ”</w:t>
      </w:r>
      <w:r w:rsidR="004532B6" w:rsidRPr="004532B6">
        <w:rPr>
          <w:rFonts w:ascii="Arial" w:hAnsi="Arial" w:cs="Arial"/>
          <w:i/>
          <w:spacing w:val="-2"/>
          <w:sz w:val="22"/>
          <w:szCs w:val="22"/>
        </w:rPr>
        <w:t>Incident management</w:t>
      </w:r>
      <w:r w:rsidR="004532B6">
        <w:rPr>
          <w:rFonts w:ascii="Arial" w:hAnsi="Arial" w:cs="Arial"/>
          <w:spacing w:val="-2"/>
          <w:sz w:val="22"/>
          <w:szCs w:val="22"/>
        </w:rPr>
        <w:t>”</w:t>
      </w:r>
    </w:p>
    <w:p w:rsidR="000168EC" w:rsidRPr="002608DF" w:rsidRDefault="000168EC" w:rsidP="000168EC">
      <w:pPr>
        <w:ind w:right="6"/>
        <w:jc w:val="center"/>
        <w:rPr>
          <w:rFonts w:ascii="Arial" w:hAnsi="Arial" w:cs="Arial"/>
          <w:bCs/>
          <w:sz w:val="16"/>
          <w:szCs w:val="16"/>
        </w:rPr>
      </w:pPr>
    </w:p>
    <w:p w:rsidR="00127E5B" w:rsidRPr="000168EC" w:rsidRDefault="00B26B37" w:rsidP="00B26B37">
      <w:pPr>
        <w:spacing w:line="360" w:lineRule="auto"/>
        <w:ind w:right="5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168EC">
        <w:rPr>
          <w:rFonts w:ascii="Arial" w:hAnsi="Arial" w:cs="Arial"/>
          <w:b/>
          <w:bCs/>
          <w:sz w:val="22"/>
          <w:szCs w:val="22"/>
          <w:u w:val="single"/>
        </w:rPr>
        <w:t>PROVA D’ESAME</w:t>
      </w:r>
    </w:p>
    <w:p w:rsidR="00127E5B" w:rsidRPr="002608DF" w:rsidRDefault="00127E5B" w:rsidP="00127E5B">
      <w:pPr>
        <w:spacing w:line="360" w:lineRule="auto"/>
        <w:ind w:left="4179" w:right="3890" w:hanging="4179"/>
        <w:rPr>
          <w:rFonts w:ascii="Arial" w:hAnsi="Arial" w:cs="Arial"/>
          <w:bCs/>
          <w:sz w:val="16"/>
          <w:szCs w:val="16"/>
        </w:rPr>
      </w:pPr>
    </w:p>
    <w:p w:rsidR="00127E5B" w:rsidRPr="002B6392" w:rsidRDefault="00127E5B" w:rsidP="00B26B37">
      <w:pPr>
        <w:numPr>
          <w:ilvl w:val="0"/>
          <w:numId w:val="1"/>
        </w:numPr>
        <w:spacing w:line="360" w:lineRule="auto"/>
        <w:ind w:right="5"/>
        <w:jc w:val="both"/>
        <w:rPr>
          <w:rFonts w:ascii="Arial" w:hAnsi="Arial" w:cs="Arial"/>
          <w:b/>
          <w:sz w:val="22"/>
          <w:szCs w:val="22"/>
        </w:rPr>
      </w:pPr>
      <w:r w:rsidRPr="002B6392">
        <w:rPr>
          <w:rFonts w:ascii="Arial" w:hAnsi="Arial" w:cs="Arial"/>
          <w:b/>
          <w:bCs/>
          <w:sz w:val="22"/>
          <w:szCs w:val="22"/>
          <w:u w:val="single"/>
        </w:rPr>
        <w:t>SCOPO</w:t>
      </w:r>
      <w:r w:rsidRPr="002B639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168EC" w:rsidRPr="000168EC" w:rsidRDefault="000168EC" w:rsidP="00B26B37">
      <w:pPr>
        <w:spacing w:line="360" w:lineRule="auto"/>
        <w:ind w:left="57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Verificare la capacità di applicare i fondamenti dell’ITIL </w:t>
      </w:r>
      <w:r w:rsidR="002608DF">
        <w:rPr>
          <w:rFonts w:ascii="Arial" w:hAnsi="Arial" w:cs="Arial"/>
          <w:bCs/>
          <w:sz w:val="22"/>
          <w:szCs w:val="22"/>
        </w:rPr>
        <w:t>del processo di “incident management” nell’ambito di un caso di studio. Il candidato dovrà dimostrare di aver compreso</w:t>
      </w:r>
      <w:r w:rsidR="002E3A56">
        <w:rPr>
          <w:rFonts w:ascii="Arial" w:hAnsi="Arial" w:cs="Arial"/>
          <w:bCs/>
          <w:sz w:val="22"/>
          <w:szCs w:val="22"/>
        </w:rPr>
        <w:t>,</w:t>
      </w:r>
      <w:r w:rsidR="002608DF">
        <w:rPr>
          <w:rFonts w:ascii="Arial" w:hAnsi="Arial" w:cs="Arial"/>
          <w:bCs/>
          <w:sz w:val="22"/>
          <w:szCs w:val="22"/>
        </w:rPr>
        <w:t xml:space="preserve"> nella pratica ed in presenza di un ambiente non totalmente chiaro</w:t>
      </w:r>
      <w:r w:rsidR="002E3A56">
        <w:rPr>
          <w:rFonts w:ascii="Arial" w:hAnsi="Arial" w:cs="Arial"/>
          <w:bCs/>
          <w:sz w:val="22"/>
          <w:szCs w:val="22"/>
        </w:rPr>
        <w:t>,</w:t>
      </w:r>
      <w:r w:rsidR="002608DF">
        <w:rPr>
          <w:rFonts w:ascii="Arial" w:hAnsi="Arial" w:cs="Arial"/>
          <w:bCs/>
          <w:sz w:val="22"/>
          <w:szCs w:val="22"/>
        </w:rPr>
        <w:t xml:space="preserve"> i fondamenti teorici del processo</w:t>
      </w:r>
      <w:r w:rsidR="004532B6">
        <w:rPr>
          <w:rFonts w:ascii="Arial" w:hAnsi="Arial" w:cs="Arial"/>
          <w:bCs/>
          <w:sz w:val="22"/>
          <w:szCs w:val="22"/>
        </w:rPr>
        <w:t>.</w:t>
      </w:r>
    </w:p>
    <w:p w:rsidR="00127E5B" w:rsidRPr="002B6392" w:rsidRDefault="00127E5B" w:rsidP="00B26B37">
      <w:pPr>
        <w:numPr>
          <w:ilvl w:val="0"/>
          <w:numId w:val="1"/>
        </w:numPr>
        <w:tabs>
          <w:tab w:val="left" w:pos="9633"/>
        </w:tabs>
        <w:spacing w:line="360" w:lineRule="auto"/>
        <w:ind w:right="5"/>
        <w:jc w:val="both"/>
        <w:rPr>
          <w:rFonts w:ascii="Arial" w:hAnsi="Arial" w:cs="Arial"/>
          <w:b/>
          <w:sz w:val="22"/>
          <w:szCs w:val="22"/>
        </w:rPr>
      </w:pPr>
      <w:r w:rsidRPr="002B6392">
        <w:rPr>
          <w:rFonts w:ascii="Arial" w:hAnsi="Arial" w:cs="Arial"/>
          <w:b/>
          <w:bCs/>
          <w:sz w:val="22"/>
          <w:szCs w:val="22"/>
          <w:u w:val="single"/>
        </w:rPr>
        <w:t>SITUAZIONE</w:t>
      </w:r>
      <w:r w:rsidRPr="002B639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D0D7F" w:rsidRDefault="00103B55" w:rsidP="004532B6">
      <w:pPr>
        <w:spacing w:line="360" w:lineRule="auto"/>
        <w:ind w:left="57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La ACME </w:t>
      </w:r>
      <w:r w:rsidR="00361A4D" w:rsidRPr="00361A4D">
        <w:rPr>
          <w:rFonts w:ascii="Arial" w:hAnsi="Arial" w:cs="Arial"/>
          <w:bCs/>
          <w:sz w:val="22"/>
          <w:szCs w:val="22"/>
          <w:lang w:val="en-US"/>
        </w:rPr>
        <w:t>Enterprise</w:t>
      </w:r>
      <w:r>
        <w:rPr>
          <w:rFonts w:ascii="Arial" w:hAnsi="Arial" w:cs="Arial"/>
          <w:bCs/>
          <w:sz w:val="22"/>
          <w:szCs w:val="22"/>
        </w:rPr>
        <w:t>, fornisce servizi di Comunicazione ed Informatica (ICT)</w:t>
      </w:r>
      <w:r w:rsidR="001D0D7F">
        <w:rPr>
          <w:rFonts w:ascii="Arial" w:hAnsi="Arial" w:cs="Arial"/>
          <w:bCs/>
          <w:sz w:val="22"/>
          <w:szCs w:val="22"/>
        </w:rPr>
        <w:t xml:space="preserve"> con capacità su tutti e 7 i livelli del ISO – OSI.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D0D7F">
        <w:rPr>
          <w:rFonts w:ascii="Arial" w:hAnsi="Arial" w:cs="Arial"/>
          <w:bCs/>
          <w:sz w:val="22"/>
          <w:szCs w:val="22"/>
        </w:rPr>
        <w:t xml:space="preserve">Essa è </w:t>
      </w:r>
      <w:r>
        <w:rPr>
          <w:rFonts w:ascii="Arial" w:hAnsi="Arial" w:cs="Arial"/>
          <w:bCs/>
          <w:sz w:val="22"/>
          <w:szCs w:val="22"/>
        </w:rPr>
        <w:t xml:space="preserve">una holding con diramazione </w:t>
      </w:r>
      <w:r w:rsidR="001D0D7F">
        <w:rPr>
          <w:rFonts w:ascii="Arial" w:hAnsi="Arial" w:cs="Arial"/>
          <w:bCs/>
          <w:sz w:val="22"/>
          <w:szCs w:val="22"/>
        </w:rPr>
        <w:t>tanto</w:t>
      </w:r>
      <w:r>
        <w:rPr>
          <w:rFonts w:ascii="Arial" w:hAnsi="Arial" w:cs="Arial"/>
          <w:bCs/>
          <w:sz w:val="22"/>
          <w:szCs w:val="22"/>
        </w:rPr>
        <w:t xml:space="preserve"> sul territorio nazionale </w:t>
      </w:r>
      <w:r w:rsidR="001D0D7F">
        <w:rPr>
          <w:rFonts w:ascii="Arial" w:hAnsi="Arial" w:cs="Arial"/>
          <w:bCs/>
          <w:sz w:val="22"/>
          <w:szCs w:val="22"/>
        </w:rPr>
        <w:t>quanto</w:t>
      </w:r>
      <w:r>
        <w:rPr>
          <w:rFonts w:ascii="Arial" w:hAnsi="Arial" w:cs="Arial"/>
          <w:bCs/>
          <w:sz w:val="22"/>
          <w:szCs w:val="22"/>
        </w:rPr>
        <w:t xml:space="preserve"> internazionale. Presso la </w:t>
      </w:r>
      <w:r w:rsidR="00961967">
        <w:rPr>
          <w:rFonts w:ascii="Arial" w:hAnsi="Arial" w:cs="Arial"/>
          <w:bCs/>
          <w:sz w:val="22"/>
          <w:szCs w:val="22"/>
        </w:rPr>
        <w:t>sede</w:t>
      </w:r>
      <w:r>
        <w:rPr>
          <w:rFonts w:ascii="Arial" w:hAnsi="Arial" w:cs="Arial"/>
          <w:bCs/>
          <w:sz w:val="22"/>
          <w:szCs w:val="22"/>
        </w:rPr>
        <w:t xml:space="preserve"> di Padova  ACME </w:t>
      </w:r>
      <w:r w:rsidRPr="00361A4D">
        <w:rPr>
          <w:rFonts w:ascii="Arial" w:hAnsi="Arial" w:cs="Arial"/>
          <w:bCs/>
          <w:sz w:val="22"/>
          <w:szCs w:val="22"/>
        </w:rPr>
        <w:t>Enterpri</w:t>
      </w:r>
      <w:r w:rsidR="00361A4D" w:rsidRPr="00361A4D">
        <w:rPr>
          <w:rFonts w:ascii="Arial" w:hAnsi="Arial" w:cs="Arial"/>
          <w:bCs/>
          <w:sz w:val="22"/>
          <w:szCs w:val="22"/>
        </w:rPr>
        <w:t>s</w:t>
      </w:r>
      <w:r w:rsidRPr="00361A4D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 ha una propria consociata che </w:t>
      </w:r>
      <w:r w:rsidR="001D0D7F">
        <w:rPr>
          <w:rFonts w:ascii="Arial" w:hAnsi="Arial" w:cs="Arial"/>
          <w:bCs/>
          <w:sz w:val="22"/>
          <w:szCs w:val="22"/>
        </w:rPr>
        <w:t xml:space="preserve">fornisce i citati servizi ICT </w:t>
      </w:r>
      <w:r>
        <w:rPr>
          <w:rFonts w:ascii="Arial" w:hAnsi="Arial" w:cs="Arial"/>
          <w:bCs/>
          <w:sz w:val="22"/>
          <w:szCs w:val="22"/>
        </w:rPr>
        <w:t>sul territorio del NORD EST</w:t>
      </w:r>
      <w:r w:rsidR="001D0D7F">
        <w:rPr>
          <w:rFonts w:ascii="Arial" w:hAnsi="Arial" w:cs="Arial"/>
          <w:bCs/>
          <w:sz w:val="22"/>
          <w:szCs w:val="22"/>
        </w:rPr>
        <w:t xml:space="preserve"> e </w:t>
      </w:r>
      <w:r>
        <w:rPr>
          <w:rFonts w:ascii="Arial" w:hAnsi="Arial" w:cs="Arial"/>
          <w:bCs/>
          <w:sz w:val="22"/>
          <w:szCs w:val="22"/>
        </w:rPr>
        <w:t xml:space="preserve">la cui responsabilità </w:t>
      </w:r>
      <w:r w:rsidR="001D0D7F">
        <w:rPr>
          <w:rFonts w:ascii="Arial" w:hAnsi="Arial" w:cs="Arial"/>
          <w:bCs/>
          <w:sz w:val="22"/>
          <w:szCs w:val="22"/>
        </w:rPr>
        <w:t xml:space="preserve">ricade </w:t>
      </w:r>
      <w:r w:rsidR="00961967">
        <w:rPr>
          <w:rFonts w:ascii="Arial" w:hAnsi="Arial" w:cs="Arial"/>
          <w:bCs/>
          <w:sz w:val="22"/>
          <w:szCs w:val="22"/>
        </w:rPr>
        <w:t xml:space="preserve">su un portafoglio di 218 clienti sparsi </w:t>
      </w:r>
      <w:r w:rsidR="001D0D7F">
        <w:rPr>
          <w:rFonts w:ascii="Arial" w:hAnsi="Arial" w:cs="Arial"/>
          <w:bCs/>
          <w:sz w:val="22"/>
          <w:szCs w:val="22"/>
        </w:rPr>
        <w:t>sulle</w:t>
      </w:r>
      <w:r>
        <w:rPr>
          <w:rFonts w:ascii="Arial" w:hAnsi="Arial" w:cs="Arial"/>
          <w:bCs/>
          <w:sz w:val="22"/>
          <w:szCs w:val="22"/>
        </w:rPr>
        <w:t xml:space="preserve"> regioni amministrative del Veneto, Friuli Venezia Giulia e Trentino Alto Adige. La struttura</w:t>
      </w:r>
      <w:r w:rsidR="001D0D7F">
        <w:rPr>
          <w:rFonts w:ascii="Arial" w:hAnsi="Arial" w:cs="Arial"/>
          <w:bCs/>
          <w:sz w:val="22"/>
          <w:szCs w:val="22"/>
        </w:rPr>
        <w:t xml:space="preserve"> della ACME Padova è descritta nell’allegato “A”. </w:t>
      </w:r>
      <w:r w:rsidR="002B6392">
        <w:rPr>
          <w:rFonts w:ascii="Arial" w:hAnsi="Arial" w:cs="Arial"/>
          <w:bCs/>
          <w:sz w:val="22"/>
          <w:szCs w:val="22"/>
        </w:rPr>
        <w:t>Nel documento in allegato “B” vi è una bozza preliminare da cu</w:t>
      </w:r>
      <w:r w:rsidR="00361A4D">
        <w:rPr>
          <w:rFonts w:ascii="Arial" w:hAnsi="Arial" w:cs="Arial"/>
          <w:bCs/>
          <w:sz w:val="22"/>
          <w:szCs w:val="22"/>
        </w:rPr>
        <w:t>i</w:t>
      </w:r>
      <w:r w:rsidR="002B6392">
        <w:rPr>
          <w:rFonts w:ascii="Arial" w:hAnsi="Arial" w:cs="Arial"/>
          <w:bCs/>
          <w:sz w:val="22"/>
          <w:szCs w:val="22"/>
        </w:rPr>
        <w:t xml:space="preserve"> partire per approfondire e maggiormente dettagliare in maniera schematica le procedure operative.</w:t>
      </w:r>
    </w:p>
    <w:p w:rsidR="00127E5B" w:rsidRPr="002B6392" w:rsidRDefault="000168EC" w:rsidP="00B26B37">
      <w:pPr>
        <w:numPr>
          <w:ilvl w:val="0"/>
          <w:numId w:val="1"/>
        </w:numPr>
        <w:spacing w:line="360" w:lineRule="auto"/>
        <w:ind w:right="5"/>
        <w:rPr>
          <w:rFonts w:ascii="Arial" w:hAnsi="Arial" w:cs="Arial"/>
          <w:b/>
          <w:sz w:val="22"/>
          <w:szCs w:val="22"/>
        </w:rPr>
      </w:pPr>
      <w:r w:rsidRPr="002B6392">
        <w:rPr>
          <w:rFonts w:ascii="Arial" w:hAnsi="Arial" w:cs="Arial"/>
          <w:b/>
          <w:bCs/>
          <w:sz w:val="22"/>
          <w:szCs w:val="22"/>
          <w:u w:val="single"/>
        </w:rPr>
        <w:t xml:space="preserve">ATTIVITA’ </w:t>
      </w:r>
    </w:p>
    <w:p w:rsidR="004532B6" w:rsidRDefault="002E3A56" w:rsidP="004532B6">
      <w:pPr>
        <w:spacing w:line="360" w:lineRule="auto"/>
        <w:ind w:left="57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Il candidato dovrà organizzare il proprio lavoro elaborando </w:t>
      </w:r>
      <w:r w:rsidR="00103B55">
        <w:rPr>
          <w:rFonts w:ascii="Arial" w:hAnsi="Arial" w:cs="Arial"/>
          <w:bCs/>
          <w:sz w:val="22"/>
          <w:szCs w:val="22"/>
        </w:rPr>
        <w:t>i documenti di seguito indicati</w:t>
      </w:r>
      <w:r>
        <w:rPr>
          <w:rFonts w:ascii="Arial" w:hAnsi="Arial" w:cs="Arial"/>
          <w:bCs/>
          <w:sz w:val="22"/>
          <w:szCs w:val="22"/>
        </w:rPr>
        <w:t>.</w:t>
      </w:r>
      <w:r w:rsidR="00103B5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Tale obiettivo </w:t>
      </w:r>
      <w:r w:rsidR="004532B6">
        <w:rPr>
          <w:rFonts w:ascii="Arial" w:hAnsi="Arial" w:cs="Arial"/>
          <w:bCs/>
          <w:sz w:val="22"/>
          <w:szCs w:val="22"/>
        </w:rPr>
        <w:t>dovrà essere raggiunto attraverso</w:t>
      </w:r>
      <w:r w:rsidR="00103B55">
        <w:rPr>
          <w:rFonts w:ascii="Arial" w:hAnsi="Arial" w:cs="Arial"/>
          <w:bCs/>
          <w:sz w:val="22"/>
          <w:szCs w:val="22"/>
        </w:rPr>
        <w:t xml:space="preserve"> uno </w:t>
      </w:r>
      <w:r w:rsidR="004532B6">
        <w:rPr>
          <w:rFonts w:ascii="Arial" w:hAnsi="Arial" w:cs="Arial"/>
          <w:bCs/>
          <w:sz w:val="22"/>
          <w:szCs w:val="22"/>
        </w:rPr>
        <w:t>step</w:t>
      </w:r>
      <w:r w:rsidR="00103B55">
        <w:rPr>
          <w:rFonts w:ascii="Arial" w:hAnsi="Arial" w:cs="Arial"/>
          <w:bCs/>
          <w:sz w:val="22"/>
          <w:szCs w:val="22"/>
        </w:rPr>
        <w:t xml:space="preserve"> teorico, uno pratico ed uno applicativo</w:t>
      </w:r>
      <w:r w:rsidR="004532B6">
        <w:rPr>
          <w:rFonts w:ascii="Arial" w:hAnsi="Arial" w:cs="Arial"/>
          <w:bCs/>
          <w:sz w:val="22"/>
          <w:szCs w:val="22"/>
        </w:rPr>
        <w:t>:</w:t>
      </w:r>
    </w:p>
    <w:p w:rsidR="004532B6" w:rsidRPr="002B6392" w:rsidRDefault="004532B6" w:rsidP="004532B6">
      <w:pPr>
        <w:spacing w:line="360" w:lineRule="auto"/>
        <w:ind w:left="57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B6392">
        <w:rPr>
          <w:rFonts w:ascii="Arial" w:hAnsi="Arial" w:cs="Arial"/>
          <w:bCs/>
          <w:sz w:val="20"/>
          <w:szCs w:val="20"/>
          <w:u w:val="single"/>
        </w:rPr>
        <w:t>STEP TEORICO</w:t>
      </w:r>
    </w:p>
    <w:p w:rsidR="002E3A56" w:rsidRDefault="002E3A56" w:rsidP="004532B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1° Documento. Documento nel quale dovrà essere illustrato uno </w:t>
      </w:r>
      <w:r w:rsidR="004532B6">
        <w:rPr>
          <w:rFonts w:ascii="Arial" w:hAnsi="Arial" w:cs="Arial"/>
          <w:bCs/>
          <w:sz w:val="22"/>
          <w:szCs w:val="22"/>
        </w:rPr>
        <w:t>studio preliminare dell’organizzazione della Società ACME</w:t>
      </w:r>
      <w:r w:rsidR="00961967">
        <w:rPr>
          <w:rFonts w:ascii="Arial" w:hAnsi="Arial" w:cs="Arial"/>
          <w:bCs/>
          <w:sz w:val="22"/>
          <w:szCs w:val="22"/>
        </w:rPr>
        <w:t xml:space="preserve"> Padova</w:t>
      </w:r>
      <w:r>
        <w:rPr>
          <w:rFonts w:ascii="Arial" w:hAnsi="Arial" w:cs="Arial"/>
          <w:bCs/>
          <w:sz w:val="22"/>
          <w:szCs w:val="22"/>
        </w:rPr>
        <w:t xml:space="preserve">. A tale proposito il candidato, in </w:t>
      </w:r>
      <w:r w:rsidR="00961967">
        <w:rPr>
          <w:rFonts w:ascii="Arial" w:hAnsi="Arial" w:cs="Arial"/>
          <w:bCs/>
          <w:sz w:val="22"/>
          <w:szCs w:val="22"/>
        </w:rPr>
        <w:t>riferimento</w:t>
      </w:r>
      <w:r>
        <w:rPr>
          <w:rFonts w:ascii="Arial" w:hAnsi="Arial" w:cs="Arial"/>
          <w:bCs/>
          <w:sz w:val="22"/>
          <w:szCs w:val="22"/>
        </w:rPr>
        <w:t xml:space="preserve"> ad alcune lacune organizzative che potrebbe rilevare in relazione al processo ITIL di incident manageme</w:t>
      </w:r>
      <w:r w:rsidR="00961967">
        <w:rPr>
          <w:rFonts w:ascii="Arial" w:hAnsi="Arial" w:cs="Arial"/>
          <w:bCs/>
          <w:sz w:val="22"/>
          <w:szCs w:val="22"/>
        </w:rPr>
        <w:t>n</w:t>
      </w:r>
      <w:r>
        <w:rPr>
          <w:rFonts w:ascii="Arial" w:hAnsi="Arial" w:cs="Arial"/>
          <w:bCs/>
          <w:sz w:val="22"/>
          <w:szCs w:val="22"/>
        </w:rPr>
        <w:t>t, ha facoltà di suggerire  i provvedimenti organizzativi che riterrà opportuni per far in modo da rendere l’organizza</w:t>
      </w:r>
      <w:r w:rsidR="001D0D7F">
        <w:rPr>
          <w:rFonts w:ascii="Arial" w:hAnsi="Arial" w:cs="Arial"/>
          <w:bCs/>
          <w:sz w:val="22"/>
          <w:szCs w:val="22"/>
        </w:rPr>
        <w:t>z</w:t>
      </w:r>
      <w:r>
        <w:rPr>
          <w:rFonts w:ascii="Arial" w:hAnsi="Arial" w:cs="Arial"/>
          <w:bCs/>
          <w:sz w:val="22"/>
          <w:szCs w:val="22"/>
        </w:rPr>
        <w:t>ione</w:t>
      </w:r>
      <w:r w:rsidR="00961967">
        <w:rPr>
          <w:rFonts w:ascii="Arial" w:hAnsi="Arial" w:cs="Arial"/>
          <w:bCs/>
          <w:sz w:val="22"/>
          <w:szCs w:val="22"/>
        </w:rPr>
        <w:t xml:space="preserve"> ovvero una sua parte</w:t>
      </w:r>
      <w:r w:rsidR="001D0D7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maggiormente aderente a tale processo.</w:t>
      </w:r>
    </w:p>
    <w:p w:rsidR="004532B6" w:rsidRDefault="002E3A56" w:rsidP="004532B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2° Documento. Definire in un documento attraverso la formalizzazione di uno o più diagrammi di flusso il </w:t>
      </w:r>
      <w:r w:rsidR="004532B6">
        <w:rPr>
          <w:rFonts w:ascii="Arial" w:hAnsi="Arial" w:cs="Arial"/>
          <w:bCs/>
          <w:sz w:val="22"/>
          <w:szCs w:val="22"/>
        </w:rPr>
        <w:t xml:space="preserve">design </w:t>
      </w:r>
      <w:r w:rsidR="00961967">
        <w:rPr>
          <w:rFonts w:ascii="Arial" w:hAnsi="Arial" w:cs="Arial"/>
          <w:bCs/>
          <w:sz w:val="22"/>
          <w:szCs w:val="22"/>
        </w:rPr>
        <w:t>di</w:t>
      </w:r>
      <w:r w:rsidR="004532B6">
        <w:rPr>
          <w:rFonts w:ascii="Arial" w:hAnsi="Arial" w:cs="Arial"/>
          <w:bCs/>
          <w:sz w:val="22"/>
          <w:szCs w:val="22"/>
        </w:rPr>
        <w:t xml:space="preserve"> processo</w:t>
      </w:r>
      <w:r>
        <w:rPr>
          <w:rFonts w:ascii="Arial" w:hAnsi="Arial" w:cs="Arial"/>
          <w:bCs/>
          <w:sz w:val="22"/>
          <w:szCs w:val="22"/>
        </w:rPr>
        <w:t>,</w:t>
      </w:r>
      <w:r w:rsidR="004532B6">
        <w:rPr>
          <w:rFonts w:ascii="Arial" w:hAnsi="Arial" w:cs="Arial"/>
          <w:bCs/>
          <w:sz w:val="22"/>
          <w:szCs w:val="22"/>
        </w:rPr>
        <w:t xml:space="preserve"> in riferimento alla struttura organizzativa secondo le “migliori pratiche”</w:t>
      </w:r>
      <w:r>
        <w:rPr>
          <w:rFonts w:ascii="Arial" w:hAnsi="Arial" w:cs="Arial"/>
          <w:bCs/>
          <w:sz w:val="22"/>
          <w:szCs w:val="22"/>
        </w:rPr>
        <w:t>. Il documento dovrà contenere delle dettagliate s</w:t>
      </w:r>
      <w:r w:rsidR="00961967">
        <w:rPr>
          <w:rFonts w:ascii="Arial" w:hAnsi="Arial" w:cs="Arial"/>
          <w:bCs/>
          <w:sz w:val="22"/>
          <w:szCs w:val="22"/>
        </w:rPr>
        <w:t>piegazioni di quanto illustrato mettendo ben in evidenza la sequenza delle attività sia all’in</w:t>
      </w:r>
      <w:r w:rsidR="00361A4D">
        <w:rPr>
          <w:rFonts w:ascii="Arial" w:hAnsi="Arial" w:cs="Arial"/>
          <w:bCs/>
          <w:sz w:val="22"/>
          <w:szCs w:val="22"/>
        </w:rPr>
        <w:t>t</w:t>
      </w:r>
      <w:r w:rsidR="00961967">
        <w:rPr>
          <w:rFonts w:ascii="Arial" w:hAnsi="Arial" w:cs="Arial"/>
          <w:bCs/>
          <w:sz w:val="22"/>
          <w:szCs w:val="22"/>
        </w:rPr>
        <w:t xml:space="preserve">erno del </w:t>
      </w:r>
      <w:r w:rsidR="00961967">
        <w:rPr>
          <w:rFonts w:ascii="Arial" w:hAnsi="Arial" w:cs="Arial"/>
          <w:bCs/>
          <w:sz w:val="22"/>
          <w:szCs w:val="22"/>
        </w:rPr>
        <w:lastRenderedPageBreak/>
        <w:t>processo sia con processi differenti.</w:t>
      </w:r>
    </w:p>
    <w:p w:rsidR="004532B6" w:rsidRPr="002B6392" w:rsidRDefault="004532B6" w:rsidP="004532B6">
      <w:pPr>
        <w:spacing w:line="360" w:lineRule="auto"/>
        <w:ind w:left="57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B6392">
        <w:rPr>
          <w:rFonts w:ascii="Arial" w:hAnsi="Arial" w:cs="Arial"/>
          <w:bCs/>
          <w:sz w:val="20"/>
          <w:szCs w:val="20"/>
          <w:u w:val="single"/>
        </w:rPr>
        <w:t>STEP PRATICO</w:t>
      </w:r>
    </w:p>
    <w:p w:rsidR="004532B6" w:rsidRDefault="002E3A56" w:rsidP="004532B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3° Documento. Tale documento dovrà contenere una dettagliata analisi comparativa </w:t>
      </w:r>
      <w:r w:rsidR="00961967">
        <w:rPr>
          <w:rFonts w:ascii="Arial" w:hAnsi="Arial" w:cs="Arial"/>
          <w:bCs/>
          <w:sz w:val="22"/>
          <w:szCs w:val="22"/>
        </w:rPr>
        <w:t>del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532B6">
        <w:rPr>
          <w:rFonts w:ascii="Arial" w:hAnsi="Arial" w:cs="Arial"/>
          <w:bCs/>
          <w:sz w:val="22"/>
          <w:szCs w:val="22"/>
        </w:rPr>
        <w:t xml:space="preserve">software </w:t>
      </w:r>
      <w:r w:rsidR="002074E4">
        <w:rPr>
          <w:rFonts w:ascii="Arial" w:hAnsi="Arial" w:cs="Arial"/>
          <w:sz w:val="22"/>
          <w:szCs w:val="22"/>
        </w:rPr>
        <w:t xml:space="preserve">"Open Ticket Request System – OTRS” raggiungibile all’indirizzo </w:t>
      </w:r>
      <w:hyperlink r:id="rId7" w:history="1">
        <w:r w:rsidR="002074E4" w:rsidRPr="009C0355">
          <w:rPr>
            <w:rStyle w:val="Hyperlink"/>
            <w:rFonts w:ascii="Arial" w:hAnsi="Arial" w:cs="Arial"/>
            <w:sz w:val="22"/>
            <w:szCs w:val="22"/>
          </w:rPr>
          <w:t>http://otrs.org/</w:t>
        </w:r>
      </w:hyperlink>
      <w:r w:rsidR="002074E4">
        <w:rPr>
          <w:rFonts w:ascii="Arial" w:hAnsi="Arial" w:cs="Arial"/>
          <w:sz w:val="22"/>
          <w:szCs w:val="22"/>
        </w:rPr>
        <w:t xml:space="preserve">  </w:t>
      </w:r>
      <w:r w:rsidR="004532B6">
        <w:rPr>
          <w:rFonts w:ascii="Arial" w:hAnsi="Arial" w:cs="Arial"/>
          <w:bCs/>
          <w:sz w:val="22"/>
          <w:szCs w:val="22"/>
        </w:rPr>
        <w:t>in r</w:t>
      </w:r>
      <w:r w:rsidR="002074E4">
        <w:rPr>
          <w:rFonts w:ascii="Arial" w:hAnsi="Arial" w:cs="Arial"/>
          <w:bCs/>
          <w:sz w:val="22"/>
          <w:szCs w:val="22"/>
        </w:rPr>
        <w:t xml:space="preserve">elazione al processo ITIL. L’analisi, divisa in una parte generale ed una analitica,  dovrà metterne </w:t>
      </w:r>
      <w:r w:rsidR="00961967">
        <w:rPr>
          <w:rFonts w:ascii="Arial" w:hAnsi="Arial" w:cs="Arial"/>
          <w:bCs/>
          <w:sz w:val="22"/>
          <w:szCs w:val="22"/>
        </w:rPr>
        <w:t>evidenziare</w:t>
      </w:r>
      <w:r w:rsidR="002074E4">
        <w:rPr>
          <w:rFonts w:ascii="Arial" w:hAnsi="Arial" w:cs="Arial"/>
          <w:bCs/>
          <w:sz w:val="22"/>
          <w:szCs w:val="22"/>
        </w:rPr>
        <w:t xml:space="preserve"> l’aderenza dello specifico prodotto al processo ITIL,  </w:t>
      </w:r>
      <w:r w:rsidR="00961967">
        <w:rPr>
          <w:rFonts w:ascii="Arial" w:hAnsi="Arial" w:cs="Arial"/>
          <w:bCs/>
          <w:sz w:val="22"/>
          <w:szCs w:val="22"/>
        </w:rPr>
        <w:t>entrando nel merito del</w:t>
      </w:r>
      <w:r w:rsidR="002074E4">
        <w:rPr>
          <w:rFonts w:ascii="Arial" w:hAnsi="Arial" w:cs="Arial"/>
          <w:bCs/>
          <w:sz w:val="22"/>
          <w:szCs w:val="22"/>
        </w:rPr>
        <w:t xml:space="preserve">le singole funzionalità.  </w:t>
      </w:r>
    </w:p>
    <w:p w:rsidR="004532B6" w:rsidRPr="002B6392" w:rsidRDefault="004532B6" w:rsidP="004532B6">
      <w:pPr>
        <w:spacing w:line="360" w:lineRule="auto"/>
        <w:ind w:left="57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B6392">
        <w:rPr>
          <w:rFonts w:ascii="Arial" w:hAnsi="Arial" w:cs="Arial"/>
          <w:bCs/>
          <w:sz w:val="20"/>
          <w:szCs w:val="20"/>
        </w:rPr>
        <w:t xml:space="preserve"> </w:t>
      </w:r>
      <w:r w:rsidRPr="002B6392">
        <w:rPr>
          <w:rFonts w:ascii="Arial" w:hAnsi="Arial" w:cs="Arial"/>
          <w:bCs/>
          <w:sz w:val="20"/>
          <w:szCs w:val="20"/>
          <w:u w:val="single"/>
        </w:rPr>
        <w:t>STEP APPLICATIVO</w:t>
      </w:r>
    </w:p>
    <w:p w:rsidR="004532B6" w:rsidRDefault="002074E4" w:rsidP="00961967">
      <w:pPr>
        <w:numPr>
          <w:ilvl w:val="0"/>
          <w:numId w:val="2"/>
        </w:numPr>
        <w:spacing w:line="360" w:lineRule="auto"/>
        <w:ind w:hanging="3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4° Documento. </w:t>
      </w:r>
      <w:r w:rsidR="00103B55">
        <w:rPr>
          <w:rFonts w:ascii="Arial" w:hAnsi="Arial" w:cs="Arial"/>
          <w:bCs/>
          <w:sz w:val="22"/>
          <w:szCs w:val="22"/>
        </w:rPr>
        <w:t>Elaborazione di un documento che dovrà contenere le procedure operative di dettaglio in relazione alla struttura organizzativa presa in riferimento al precedente documento numero 1 ed in relazione al processo ITIL di riferimento.</w:t>
      </w:r>
      <w:r w:rsidR="0041544D">
        <w:rPr>
          <w:rFonts w:ascii="Arial" w:hAnsi="Arial" w:cs="Arial"/>
          <w:bCs/>
          <w:sz w:val="22"/>
          <w:szCs w:val="22"/>
        </w:rPr>
        <w:t xml:space="preserve"> A tale proposito si potrà fare riferimento ad un draft in allegato “B” quale punto di partenza per approfondire ed illustrare fin nei minimi dettagli la procedura ritenuta più idonea.</w:t>
      </w:r>
    </w:p>
    <w:p w:rsidR="00961967" w:rsidRDefault="00961967" w:rsidP="00961967">
      <w:pPr>
        <w:spacing w:line="360" w:lineRule="auto"/>
        <w:ind w:left="627"/>
        <w:jc w:val="both"/>
        <w:rPr>
          <w:rFonts w:ascii="Arial" w:hAnsi="Arial" w:cs="Arial"/>
          <w:bCs/>
          <w:sz w:val="22"/>
          <w:szCs w:val="22"/>
        </w:rPr>
      </w:pPr>
    </w:p>
    <w:p w:rsidR="000168EC" w:rsidRDefault="002B6392" w:rsidP="0096196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1967">
        <w:rPr>
          <w:rFonts w:ascii="Arial" w:hAnsi="Arial" w:cs="Arial"/>
          <w:b/>
          <w:sz w:val="22"/>
          <w:szCs w:val="22"/>
          <w:u w:val="single"/>
        </w:rPr>
        <w:t>CONCLUSIONI</w:t>
      </w:r>
    </w:p>
    <w:p w:rsidR="00961967" w:rsidRPr="00961967" w:rsidRDefault="00961967" w:rsidP="00961967">
      <w:pPr>
        <w:spacing w:line="360" w:lineRule="auto"/>
        <w:ind w:left="5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 nel corso degli elaborati fosse ri</w:t>
      </w:r>
      <w:r w:rsidR="00361A4D">
        <w:rPr>
          <w:rFonts w:ascii="Arial" w:hAnsi="Arial" w:cs="Arial"/>
          <w:sz w:val="22"/>
          <w:szCs w:val="22"/>
        </w:rPr>
        <w:t>tenuto necessario da parte del/</w:t>
      </w:r>
      <w:r>
        <w:rPr>
          <w:rFonts w:ascii="Arial" w:hAnsi="Arial" w:cs="Arial"/>
          <w:sz w:val="22"/>
          <w:szCs w:val="22"/>
        </w:rPr>
        <w:t xml:space="preserve">dei candidati un maggiore approfondimento per meglio comprendere le condizioni iniziali quali “base line” da cui partire si è a totale disposizione </w:t>
      </w:r>
      <w:r w:rsidR="0041544D">
        <w:rPr>
          <w:rFonts w:ascii="Arial" w:hAnsi="Arial" w:cs="Arial"/>
          <w:sz w:val="22"/>
          <w:szCs w:val="22"/>
        </w:rPr>
        <w:t xml:space="preserve">dei candidati </w:t>
      </w:r>
      <w:r>
        <w:rPr>
          <w:rFonts w:ascii="Arial" w:hAnsi="Arial" w:cs="Arial"/>
          <w:sz w:val="22"/>
          <w:szCs w:val="22"/>
        </w:rPr>
        <w:t>pr</w:t>
      </w:r>
      <w:r w:rsidR="00361A4D">
        <w:rPr>
          <w:rFonts w:ascii="Arial" w:hAnsi="Arial" w:cs="Arial"/>
          <w:sz w:val="22"/>
          <w:szCs w:val="22"/>
        </w:rPr>
        <w:t>evio appuntamento. Buon lavoro!</w:t>
      </w:r>
    </w:p>
    <w:sectPr w:rsidR="00961967" w:rsidRPr="00961967" w:rsidSect="00127E5B">
      <w:pgSz w:w="11906" w:h="16838"/>
      <w:pgMar w:top="54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72FB"/>
    <w:multiLevelType w:val="hybridMultilevel"/>
    <w:tmpl w:val="16F8A15E"/>
    <w:lvl w:ilvl="0" w:tplc="8A460DCE">
      <w:start w:val="2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">
    <w:nsid w:val="582F717F"/>
    <w:multiLevelType w:val="singleLevel"/>
    <w:tmpl w:val="7708EFE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b w:val="0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283"/>
  <w:drawingGridHorizontalSpacing w:val="57"/>
  <w:displayVerticalDrawingGridEvery w:val="2"/>
  <w:characterSpacingControl w:val="doNotCompress"/>
  <w:compat/>
  <w:rsids>
    <w:rsidRoot w:val="00127E5B"/>
    <w:rsid w:val="000168EC"/>
    <w:rsid w:val="00103B55"/>
    <w:rsid w:val="00127E5B"/>
    <w:rsid w:val="001D0D7F"/>
    <w:rsid w:val="002074E4"/>
    <w:rsid w:val="002608DF"/>
    <w:rsid w:val="002B6392"/>
    <w:rsid w:val="002E3A56"/>
    <w:rsid w:val="00361A4D"/>
    <w:rsid w:val="0041544D"/>
    <w:rsid w:val="004532B6"/>
    <w:rsid w:val="004C1537"/>
    <w:rsid w:val="0054083C"/>
    <w:rsid w:val="006F5542"/>
    <w:rsid w:val="00712809"/>
    <w:rsid w:val="00887A01"/>
    <w:rsid w:val="00961967"/>
    <w:rsid w:val="00A94171"/>
    <w:rsid w:val="00B26B37"/>
    <w:rsid w:val="00BF5366"/>
    <w:rsid w:val="00CC1EDB"/>
    <w:rsid w:val="00CF460E"/>
    <w:rsid w:val="00F7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E5B"/>
    <w:pPr>
      <w:widowControl w:val="0"/>
      <w:autoSpaceDE w:val="0"/>
      <w:autoSpaceDN w:val="0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127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3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7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96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17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tr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unzione@rgtt32.esercito.difesa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E.I.</Company>
  <LinksUpToDate>false</LinksUpToDate>
  <CharactersWithSpaces>3667</CharactersWithSpaces>
  <SharedDoc>false</SharedDoc>
  <HLinks>
    <vt:vector size="12" baseType="variant">
      <vt:variant>
        <vt:i4>4521990</vt:i4>
      </vt:variant>
      <vt:variant>
        <vt:i4>6</vt:i4>
      </vt:variant>
      <vt:variant>
        <vt:i4>0</vt:i4>
      </vt:variant>
      <vt:variant>
        <vt:i4>5</vt:i4>
      </vt:variant>
      <vt:variant>
        <vt:lpwstr>http://otrs.org/</vt:lpwstr>
      </vt:variant>
      <vt:variant>
        <vt:lpwstr/>
      </vt:variant>
      <vt:variant>
        <vt:i4>3211276</vt:i4>
      </vt:variant>
      <vt:variant>
        <vt:i4>3</vt:i4>
      </vt:variant>
      <vt:variant>
        <vt:i4>0</vt:i4>
      </vt:variant>
      <vt:variant>
        <vt:i4>5</vt:i4>
      </vt:variant>
      <vt:variant>
        <vt:lpwstr>mailto:funzione@rgtt32.esercito.difesa.it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ASUS</dc:creator>
  <cp:keywords/>
  <dc:description/>
  <cp:lastModifiedBy>Francesco Clabot</cp:lastModifiedBy>
  <cp:revision>2</cp:revision>
  <dcterms:created xsi:type="dcterms:W3CDTF">2008-06-05T11:39:00Z</dcterms:created>
  <dcterms:modified xsi:type="dcterms:W3CDTF">2008-06-05T11:39:00Z</dcterms:modified>
</cp:coreProperties>
</file>